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mposite-page-8"/>
    <w:bookmarkStart w:id="20" w:name="key-terms"/>
    <w:p>
      <w:pPr>
        <w:pStyle w:val="Heading2"/>
      </w:pPr>
      <w:r>
        <w:t xml:space="preserve">Key Terms</w:t>
      </w:r>
    </w:p>
    <w:p>
      <w:pPr>
        <w:pStyle w:val="DefinitionTerm"/>
      </w:pPr>
      <w:r>
        <w:t xml:space="preserve">code of ethics</w:t>
      </w:r>
    </w:p>
    <w:p>
      <w:pPr>
        <w:pStyle w:val="Definition"/>
      </w:pPr>
      <w:r>
        <w:t xml:space="preserve">A set of guidelines prepared by a firm to provide its employees with the knowledge of what the firm expects in terms of their responsibilities and behavior toward fellow employees, customers, and suppliers.</w:t>
      </w:r>
    </w:p>
    <w:p>
      <w:pPr>
        <w:pStyle w:val="DefinitionTerm"/>
      </w:pPr>
      <w:r>
        <w:t xml:space="preserve">corporate philanthropy</w:t>
      </w:r>
    </w:p>
    <w:p>
      <w:pPr>
        <w:pStyle w:val="Definition"/>
      </w:pPr>
      <w:r>
        <w:t xml:space="preserve">The practice of charitable giving by corporations; includes contributing cash, donating equipment and products, and supporting the volunteer efforts of company employees.</w:t>
      </w:r>
    </w:p>
    <w:p>
      <w:pPr>
        <w:pStyle w:val="DefinitionTerm"/>
      </w:pPr>
      <w:r>
        <w:t xml:space="preserve">corporate social responsibility (CSR)</w:t>
      </w:r>
    </w:p>
    <w:p>
      <w:pPr>
        <w:pStyle w:val="Definition"/>
      </w:pPr>
      <w:r>
        <w:t xml:space="preserve">The concern of businesses for the welfare of society as a whole; consists of obligations beyond those required by law or contracts.</w:t>
      </w:r>
    </w:p>
    <w:p>
      <w:pPr>
        <w:pStyle w:val="DefinitionTerm"/>
      </w:pPr>
      <w:r>
        <w:t xml:space="preserve">deontology</w:t>
      </w:r>
    </w:p>
    <w:p>
      <w:pPr>
        <w:pStyle w:val="Definition"/>
      </w:pPr>
      <w:r>
        <w:t xml:space="preserve">A philosophy in which a person will follow his or her obligations to an individual or society because upholding one's duty is what is ethically correct.</w:t>
      </w:r>
    </w:p>
    <w:p>
      <w:pPr>
        <w:pStyle w:val="DefinitionTerm"/>
      </w:pPr>
      <w:r>
        <w:t xml:space="preserve">ethical issue</w:t>
      </w:r>
    </w:p>
    <w:p>
      <w:pPr>
        <w:pStyle w:val="Definition"/>
      </w:pPr>
      <w:r>
        <w:t xml:space="preserve">A situation where a person must choose from a set of actions that may be ethical or unethical.</w:t>
      </w:r>
    </w:p>
    <w:p>
      <w:pPr>
        <w:pStyle w:val="DefinitionTerm"/>
      </w:pPr>
      <w:r>
        <w:t xml:space="preserve">ethics</w:t>
      </w:r>
    </w:p>
    <w:p>
      <w:pPr>
        <w:pStyle w:val="Definition"/>
      </w:pPr>
      <w:r>
        <w:t xml:space="preserve">A set of moral standards for judging whether something is right or wrong.</w:t>
      </w:r>
    </w:p>
    <w:p>
      <w:pPr>
        <w:pStyle w:val="DefinitionTerm"/>
      </w:pPr>
      <w:r>
        <w:t xml:space="preserve">justice</w:t>
      </w:r>
    </w:p>
    <w:p>
      <w:pPr>
        <w:pStyle w:val="Definition"/>
      </w:pPr>
      <w:r>
        <w:t xml:space="preserve">What is considered fair according to the prevailing standards of society; an equitable distribution of the burdens and rewards that society has to offer.</w:t>
      </w:r>
    </w:p>
    <w:p>
      <w:pPr>
        <w:pStyle w:val="DefinitionTerm"/>
      </w:pPr>
      <w:r>
        <w:t xml:space="preserve">social investing</w:t>
      </w:r>
    </w:p>
    <w:p>
      <w:pPr>
        <w:pStyle w:val="Definition"/>
      </w:pPr>
      <w:r>
        <w:t xml:space="preserve">The practice of limiting investments to securities of companies that behave in accordance with the investor’s beliefs about ethical and social responsibility to encourage businesses to be more socially responsible.</w:t>
      </w:r>
    </w:p>
    <w:p>
      <w:pPr>
        <w:pStyle w:val="DefinitionTerm"/>
      </w:pPr>
      <w:r>
        <w:t xml:space="preserve">stakeholders</w:t>
      </w:r>
    </w:p>
    <w:p>
      <w:pPr>
        <w:pStyle w:val="Definition"/>
      </w:pPr>
      <w:r>
        <w:t xml:space="preserve">Individuals or groups to whom a business has a responsibility; include employees, customers, the general public, and investors.</w:t>
      </w:r>
    </w:p>
    <w:p>
      <w:pPr>
        <w:pStyle w:val="DefinitionTerm"/>
      </w:pPr>
      <w:r>
        <w:t xml:space="preserve">strategic giving</w:t>
      </w:r>
    </w:p>
    <w:p>
      <w:pPr>
        <w:pStyle w:val="Definition"/>
      </w:pPr>
      <w:r>
        <w:t xml:space="preserve">The practice of tying philanthropy and corporate social responsibility efforts closely to a company’s mission or goals and targeting donations to the communities where a company does business.</w:t>
      </w:r>
    </w:p>
    <w:p>
      <w:pPr>
        <w:pStyle w:val="DefinitionTerm"/>
      </w:pPr>
      <w:r>
        <w:t xml:space="preserve">utilitarianism</w:t>
      </w:r>
    </w:p>
    <w:p>
      <w:pPr>
        <w:pStyle w:val="Definition"/>
      </w:pPr>
      <w:r>
        <w:t xml:space="preserve">A philosophy that focuses on the consequences of an action to determine whether it is right or wrong; holds that an action that affects the majority adversely is morally wrong.</w:t>
      </w:r>
    </w:p>
    <w:bookmarkEnd w:id="20"/>
    <w:bookmarkEnd w:id="21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2022-08-10T22:00:16Z</dcterms:created>
  <dcterms:modified xsi:type="dcterms:W3CDTF">2022-08-10T22:00:16Z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