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mposite-page-6"/>
    <w:bookmarkStart w:id="25" w:name="critical-thinking-case"/>
    <w:p>
      <w:pPr>
        <w:pStyle w:val="Heading2"/>
      </w:pPr>
      <w:r>
        <w:t xml:space="preserve">Critical Thinking Case</w:t>
      </w:r>
    </w:p>
    <w:bookmarkStart w:id="24" w:name="bsec-058"/>
    <w:bookmarkStart w:id="23" w:name="eip-idm366067744"/>
    <w:bookmarkStart w:id="22" w:name="walmart-gets-serious-about-e-commerce"/>
    <w:p>
      <w:pPr>
        <w:pStyle w:val="Heading4"/>
      </w:pPr>
      <w:r>
        <w:t xml:space="preserve">Walmart Gets Serious about E-Commerce</w:t>
      </w:r>
    </w:p>
    <w:p>
      <w:pPr>
        <w:pStyle w:val="FirstParagraph"/>
      </w:pPr>
      <w:r>
        <w:t xml:space="preserve">As the world’s largest retailer, Walmart has built thousands of brick-and-mortar stores in the United States, Mexico, and elsewhere. Although a success story when it comes to traditional retail locations, Walmart has struggled with its e-commerce efforts, with recent online sales accounting for about 3 percent of the company’s $300 billion in annual sales. The company has tried several different e-commerce strategies in the past, but none of them was an overwhelming success. Some company insiders objected to the pricing strategy used for online purchases; they were fearful that Walmart’s lower prices online would take customers (and sales) away from the retail locations.</w:t>
      </w:r>
    </w:p>
    <w:p>
      <w:pPr>
        <w:pStyle w:val="TextBody"/>
      </w:pPr>
      <w:r>
        <w:t xml:space="preserve">Doug McMillon, Walmart’s CEO since 2014, believed a significant change was needed in the company’s e-commerce business, and he recently made changes in a big way. Over the past two years, Walmart spent billions to acquire several online companies to expand its e-commerce business in an effort to take a small bite out of retail giant Amazon’s success. In 2016, Walmart purchased Jet.com, an e-commerce site that sells a little bit of everything (books, clothing, electronics, etc.) at discount prices. Once the $3 billion acquisition was completed, Jet’s cofounder and CEO, Marc Lore, who now runs Walmart’s e-commerce platform, worked with McMillon to identify other established online companies to add to their e-commerce portfolio, and add they did.</w:t>
      </w:r>
    </w:p>
    <w:p>
      <w:pPr>
        <w:pStyle w:val="TextBody"/>
      </w:pPr>
      <w:r>
        <w:t xml:space="preserve">First Walmart purchased footwear e-tailer ShoeBuy for $70 million in January 2017. The following month, Walmart bought outdoor specialty retailer Moosejaw for $51 million. Then in March, Walmart paid $75 million for ModCloth, an eclectic shopping site for women’s fashions. Walmart is also said to be in negotiations to buy Bonobos, a hip fashion retailer geared to millennial males.</w:t>
      </w:r>
    </w:p>
    <w:p>
      <w:pPr>
        <w:pStyle w:val="TextBody"/>
      </w:pPr>
      <w:r>
        <w:t xml:space="preserve">Reaction to the acquisitions has been mixed, depending on whom you ask. Retail analysts applaud the company’s radical move, pointing out that several well-known traditional retailers have closed their doors or filed bankruptcy because they failed to take part in the e-commerce revolution. Fashionistas, on the other hand, are lukewarm about the move. However, McMillon’s decision to allow the online retailers to operate independently may help retain loyal customers. The new e-commerce strategy may also lure typical in-store shoppers to take advantage of the expanded offerings available through both Walmart.com and Jet.com.</w:t>
      </w:r>
    </w:p>
    <w:bookmarkStart w:id="21" w:name="bl-037"/>
    <w:bookmarkStart w:id="20" w:name="X7de68daecd823babbb58edb1c8e14d7106e83bb"/>
    <w:p>
      <w:pPr>
        <w:pStyle w:val="TextBody"/>
      </w:pPr>
      <w:r>
        <w:t xml:space="preserve">Critical Thinking Questions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What are some advantages of Walmart purchasing established web businesses?</w:t>
      </w:r>
    </w:p>
    <w:p>
      <w:pPr>
        <w:numPr>
          <w:ilvl w:val="0"/>
          <w:numId w:val="1001"/>
        </w:numPr>
        <w:pStyle w:val="Compact"/>
      </w:pPr>
      <w:r>
        <w:t xml:space="preserve">What impact is Walmart’s acquisition of nontraditional retailers likely to have on the shopping habits of Walmart’s customers?</w:t>
      </w:r>
    </w:p>
    <w:p>
      <w:pPr>
        <w:numPr>
          <w:ilvl w:val="0"/>
          <w:numId w:val="1001"/>
        </w:numPr>
        <w:pStyle w:val="Compact"/>
      </w:pPr>
      <w:r>
        <w:t xml:space="preserve">How will the aggressive e-commerce plan implemented by Walmart affect operations at its retail locations?</w:t>
      </w:r>
    </w:p>
    <w:bookmarkEnd w:id="21"/>
    <w:p>
      <w:pPr>
        <w:pStyle w:val="FirstParagraph"/>
      </w:pPr>
      <w:r>
        <w:t xml:space="preserve">Sources: Brad Stone and Matthew Boyle, “Amazon Won’t Know What Hit ’Em!”</w:t>
      </w:r>
      <w:r>
        <w:t xml:space="preserve"> </w:t>
      </w:r>
      <w:r>
        <w:rPr>
          <w:iCs/>
          <w:i/>
        </w:rPr>
        <w:t xml:space="preserve">Bloomberg Businessweek,</w:t>
      </w:r>
      <w:r>
        <w:t xml:space="preserve"> </w:t>
      </w:r>
      <w:r>
        <w:t xml:space="preserve">http://www.bloomberg.com, May 8–May 14, 2017; “What an Acquisition of Bonobos Would Signal About Wal-Mart’s Strategy,”</w:t>
      </w:r>
      <w:r>
        <w:t xml:space="preserve"> </w:t>
      </w:r>
      <w:r>
        <w:rPr>
          <w:iCs/>
          <w:i/>
        </w:rPr>
        <w:t xml:space="preserve">Forbes,</w:t>
      </w:r>
      <w:r>
        <w:t xml:space="preserve"> </w:t>
      </w:r>
      <w:r>
        <w:t xml:space="preserve">http://www.forbes.com, May 9, 2017; “Walmart Acquires Niche Online Retailers, to the Dismay of Hipsters,”</w:t>
      </w:r>
      <w:r>
        <w:t xml:space="preserve"> </w:t>
      </w:r>
      <w:r>
        <w:rPr>
          <w:iCs/>
          <w:i/>
        </w:rPr>
        <w:t xml:space="preserve">Denver Post,</w:t>
      </w:r>
      <w:r>
        <w:t xml:space="preserve"> </w:t>
      </w:r>
      <w:r>
        <w:t xml:space="preserve">http://www.denverpost.com, March 24, 2017; Alana Abramson, “Walmart Acquires Online Women’s Retailer ModCloth,”</w:t>
      </w:r>
      <w:r>
        <w:t xml:space="preserve"> </w:t>
      </w:r>
      <w:r>
        <w:rPr>
          <w:iCs/>
          <w:i/>
        </w:rPr>
        <w:t xml:space="preserve">Fortune,</w:t>
      </w:r>
      <w:r>
        <w:t xml:space="preserve"> </w:t>
      </w:r>
      <w:r>
        <w:t xml:space="preserve">http://fortune.com, March 17, 2017; Phil Wahba, “Walmart’s 29% Online Holiday Season Growth Sends Shares Jumping,”</w:t>
      </w:r>
      <w:r>
        <w:t xml:space="preserve"> </w:t>
      </w:r>
      <w:r>
        <w:rPr>
          <w:iCs/>
          <w:i/>
        </w:rPr>
        <w:t xml:space="preserve">Fortune,</w:t>
      </w:r>
      <w:r>
        <w:t xml:space="preserve"> </w:t>
      </w:r>
      <w:r>
        <w:t xml:space="preserve">http://fortune.com, February 21, 2017; Laura Heller, “Take That Amazon: Walmart Buys Moosejaw for $51 Million,”</w:t>
      </w:r>
      <w:r>
        <w:t xml:space="preserve"> </w:t>
      </w:r>
      <w:r>
        <w:rPr>
          <w:iCs/>
          <w:i/>
        </w:rPr>
        <w:t xml:space="preserve">Forbes,</w:t>
      </w:r>
      <w:r>
        <w:t xml:space="preserve"> </w:t>
      </w:r>
      <w:r>
        <w:t xml:space="preserve">http://www.forbes.com, February 15, 2017; “Walmart Acquires ShoeBuy for $70 Million,”</w:t>
      </w:r>
      <w:r>
        <w:t xml:space="preserve"> </w:t>
      </w:r>
      <w:r>
        <w:rPr>
          <w:iCs/>
          <w:i/>
        </w:rPr>
        <w:t xml:space="preserve">Business Insider,</w:t>
      </w:r>
      <w:r>
        <w:t xml:space="preserve"> </w:t>
      </w:r>
      <w:r>
        <w:t xml:space="preserve">http://www.businessinsider.com, January 6, 2017.</w:t>
      </w:r>
    </w:p>
    <w:bookmarkEnd w:id="22"/>
    <w:bookmarkEnd w:id="23"/>
    <w:bookmarkEnd w:id="24"/>
    <w:bookmarkEnd w:id="25"/>
    <w:bookmarkEnd w:id="26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2022-08-10T22:00:08Z</dcterms:created>
  <dcterms:modified xsi:type="dcterms:W3CDTF">2022-08-10T22:00:08Z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